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40" w:lineRule="exact"/>
        <w:rPr>
          <w:rFonts w:hint="default" w:ascii="华文中宋" w:eastAsia="黑体" w:cs="宋体"/>
          <w:b w:val="0"/>
          <w:color w:val="000000"/>
          <w:kern w:val="0"/>
          <w:sz w:val="32"/>
          <w:szCs w:val="32"/>
        </w:rPr>
      </w:pPr>
      <w:r>
        <w:rPr>
          <w:rFonts w:ascii="黑体" w:hAnsi="黑体" w:eastAsia="黑体" w:cs="黑体"/>
          <w:b w:val="0"/>
          <w:color w:val="000000"/>
          <w:kern w:val="0"/>
          <w:sz w:val="32"/>
          <w:szCs w:val="32"/>
        </w:rPr>
        <w:t>附件1</w:t>
      </w:r>
    </w:p>
    <w:p>
      <w:pPr>
        <w:pStyle w:val="2"/>
        <w:snapToGrid w:val="0"/>
        <w:spacing w:beforeLines="200" w:beforeAutospacing="0" w:afterLines="100" w:afterAutospacing="0"/>
        <w:jc w:val="center"/>
        <w:rPr>
          <w:rFonts w:hint="default" w:ascii="方正小标宋简体" w:hAnsi="华文中宋" w:eastAsia="方正小标宋简体" w:cs="黑体"/>
          <w:bCs/>
          <w:sz w:val="44"/>
          <w:szCs w:val="44"/>
        </w:rPr>
      </w:pPr>
      <w:r>
        <w:rPr>
          <w:rFonts w:ascii="方正小标宋简体" w:hAnsi="华文中宋" w:eastAsia="方正小标宋简体" w:cs="黑体"/>
          <w:bCs/>
          <w:sz w:val="44"/>
          <w:szCs w:val="44"/>
        </w:rPr>
        <w:t>2021年度深圳市知识产权优势单位资助</w:t>
      </w:r>
      <w:r>
        <w:rPr>
          <w:rFonts w:hint="default" w:ascii="方正小标宋简体" w:hAnsi="华文中宋" w:eastAsia="方正小标宋简体" w:cs="黑体"/>
          <w:bCs/>
          <w:sz w:val="44"/>
          <w:szCs w:val="44"/>
        </w:rPr>
        <w:br w:type="textWrapping"/>
      </w:r>
      <w:r>
        <w:rPr>
          <w:rFonts w:ascii="方正小标宋简体" w:hAnsi="华文中宋" w:eastAsia="方正小标宋简体" w:cs="黑体"/>
          <w:bCs/>
          <w:sz w:val="44"/>
          <w:szCs w:val="44"/>
        </w:rPr>
        <w:t>申报指南</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申报内容</w:t>
      </w:r>
    </w:p>
    <w:p>
      <w:pPr>
        <w:numPr>
          <w:ilvl w:val="255"/>
          <w:numId w:val="0"/>
        </w:numPr>
        <w:snapToGrid w:val="0"/>
        <w:spacing w:line="560" w:lineRule="exact"/>
        <w:ind w:firstLine="640" w:firstLineChars="200"/>
        <w:jc w:val="left"/>
        <w:rPr>
          <w:rFonts w:ascii="仿宋_GB2312" w:hAnsi="Times New Roman" w:eastAsia="仿宋_GB2312"/>
          <w:b/>
          <w:sz w:val="32"/>
          <w:szCs w:val="32"/>
        </w:rPr>
      </w:pPr>
      <w:r>
        <w:rPr>
          <w:rFonts w:hint="eastAsia" w:ascii="仿宋_GB2312" w:hAnsi="华文中宋" w:eastAsia="仿宋_GB2312" w:cs="黑体"/>
          <w:bCs/>
          <w:sz w:val="32"/>
          <w:szCs w:val="32"/>
          <w:lang w:val="en-US" w:eastAsia="zh-CN"/>
        </w:rPr>
        <w:t>2021年</w:t>
      </w:r>
      <w:r>
        <w:rPr>
          <w:rFonts w:hint="eastAsia" w:ascii="仿宋_GB2312" w:hAnsi="华文中宋" w:eastAsia="仿宋_GB2312" w:cs="黑体"/>
          <w:bCs/>
          <w:sz w:val="32"/>
          <w:szCs w:val="32"/>
        </w:rPr>
        <w:t>深圳市知识产权优势单位资助</w:t>
      </w:r>
      <w:r>
        <w:rPr>
          <w:rFonts w:hint="eastAsia" w:ascii="仿宋_GB2312" w:eastAsia="仿宋_GB2312"/>
          <w:sz w:val="32"/>
          <w:szCs w:val="32"/>
        </w:rPr>
        <w:t>。</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设定</w:t>
      </w:r>
      <w:r>
        <w:rPr>
          <w:rFonts w:hint="default" w:ascii="Times New Roman" w:hAnsi="Times New Roman" w:eastAsia="黑体"/>
          <w:b w:val="0"/>
          <w:sz w:val="32"/>
        </w:rPr>
        <w:t>依据</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（一）《深圳市市场监督管理局专项资金管理办法》，深圳市市场监督管理局、深圳市财政局，深市监规〔2020〕3号；</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（二）《深圳市市场监督管理局知识产权领域专项资金操作规程》，深圳市市场监督管理局，深市监规〔2019〕10号。</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资助数量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深圳市知识产权优势单位每年认定不超过20家，每家一次性资助20万元。</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hint="default" w:ascii="Times New Roman" w:hAnsi="Times New Roman" w:eastAsia="黑体"/>
          <w:b w:val="0"/>
          <w:sz w:val="32"/>
        </w:rPr>
        <w:t>申</w:t>
      </w:r>
      <w:r>
        <w:rPr>
          <w:rFonts w:ascii="Times New Roman" w:hAnsi="Times New Roman" w:eastAsia="黑体"/>
          <w:b w:val="0"/>
          <w:sz w:val="32"/>
        </w:rPr>
        <w:t>请</w:t>
      </w:r>
      <w:r>
        <w:rPr>
          <w:rFonts w:hint="default" w:ascii="Times New Roman" w:hAnsi="Times New Roman" w:eastAsia="黑体"/>
          <w:b w:val="0"/>
          <w:sz w:val="32"/>
        </w:rPr>
        <w:t>条件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深圳市知识产权优势单位资助申请人应同时满足以下条件：</w:t>
      </w:r>
    </w:p>
    <w:p>
      <w:pPr>
        <w:pStyle w:val="14"/>
        <w:widowControl/>
        <w:numPr>
          <w:ilvl w:val="0"/>
          <w:numId w:val="2"/>
        </w:numPr>
        <w:snapToGrid w:val="0"/>
        <w:spacing w:line="560" w:lineRule="exact"/>
        <w:ind w:left="0" w:firstLine="640"/>
        <w:rPr>
          <w:rFonts w:ascii="仿宋_GB2312" w:eastAsia="仿宋_GB2312"/>
          <w:sz w:val="32"/>
          <w:szCs w:val="32"/>
        </w:rPr>
      </w:pPr>
      <w:r>
        <w:rPr>
          <w:rFonts w:hint="eastAsia" w:ascii="仿宋_GB2312" w:eastAsia="仿宋_GB2312"/>
          <w:sz w:val="32"/>
          <w:szCs w:val="32"/>
        </w:rPr>
        <w:t>属于在深圳市行政区域（含深汕特别合作区）内依法登记注册、具有独立法人资格</w:t>
      </w:r>
      <w:bookmarkStart w:id="0" w:name="OLE_LINK15"/>
      <w:r>
        <w:rPr>
          <w:rFonts w:hint="eastAsia" w:ascii="仿宋_GB2312" w:eastAsia="仿宋_GB2312"/>
          <w:sz w:val="32"/>
          <w:szCs w:val="32"/>
        </w:rPr>
        <w:t>的企业、高等学校、科研</w:t>
      </w:r>
      <w:bookmarkEnd w:id="0"/>
      <w:r>
        <w:rPr>
          <w:rFonts w:hint="eastAsia" w:ascii="仿宋_GB2312" w:eastAsia="仿宋_GB2312"/>
          <w:sz w:val="32"/>
          <w:szCs w:val="32"/>
        </w:rPr>
        <w:t>组织，且成立时间3年以上（含3年，以申报受理截止日为准）；</w:t>
      </w:r>
    </w:p>
    <w:p>
      <w:pPr>
        <w:pStyle w:val="14"/>
        <w:widowControl/>
        <w:numPr>
          <w:ilvl w:val="0"/>
          <w:numId w:val="2"/>
        </w:numPr>
        <w:snapToGrid w:val="0"/>
        <w:spacing w:line="560" w:lineRule="exact"/>
        <w:ind w:left="0" w:firstLine="640"/>
        <w:rPr>
          <w:rFonts w:ascii="仿宋_GB2312" w:eastAsia="仿宋_GB2312"/>
          <w:sz w:val="32"/>
          <w:szCs w:val="32"/>
        </w:rPr>
      </w:pPr>
      <w:r>
        <w:rPr>
          <w:rFonts w:hint="eastAsia" w:ascii="仿宋_GB2312" w:eastAsia="仿宋_GB2312"/>
          <w:sz w:val="32"/>
          <w:szCs w:val="32"/>
        </w:rPr>
        <w:t>具有专门的知识产权管理部门和专职工作人员，已建立较为健全的知识产权管理制度。通过《企业知识产权管理规范》《高等学校知识产权管理规范》或者《科研组织知识产权管理规范》认证的优先考虑；</w:t>
      </w:r>
    </w:p>
    <w:p>
      <w:pPr>
        <w:pStyle w:val="14"/>
        <w:widowControl/>
        <w:numPr>
          <w:ilvl w:val="0"/>
          <w:numId w:val="2"/>
        </w:numPr>
        <w:snapToGrid w:val="0"/>
        <w:spacing w:line="560" w:lineRule="exact"/>
        <w:ind w:left="0" w:firstLine="640"/>
        <w:rPr>
          <w:rFonts w:ascii="仿宋_GB2312" w:eastAsia="仿宋_GB2312"/>
          <w:sz w:val="32"/>
          <w:szCs w:val="32"/>
        </w:rPr>
      </w:pPr>
      <w:r>
        <w:rPr>
          <w:rFonts w:hint="eastAsia" w:ascii="仿宋_GB2312" w:eastAsia="仿宋_GB2312"/>
          <w:sz w:val="32"/>
          <w:szCs w:val="32"/>
        </w:rPr>
        <w:t>已建立知识产权信息运用机制，其能熟练使用专利信息系统查阅和分析专利文献；</w:t>
      </w:r>
    </w:p>
    <w:p>
      <w:pPr>
        <w:pStyle w:val="14"/>
        <w:widowControl/>
        <w:numPr>
          <w:ilvl w:val="0"/>
          <w:numId w:val="2"/>
        </w:numPr>
        <w:snapToGrid w:val="0"/>
        <w:spacing w:line="560" w:lineRule="exact"/>
        <w:ind w:left="0" w:firstLine="640"/>
        <w:rPr>
          <w:rFonts w:ascii="仿宋_GB2312" w:eastAsia="仿宋_GB2312"/>
          <w:sz w:val="32"/>
          <w:szCs w:val="32"/>
        </w:rPr>
      </w:pPr>
      <w:r>
        <w:rPr>
          <w:rFonts w:hint="eastAsia" w:ascii="仿宋_GB2312" w:eastAsia="仿宋_GB2312"/>
          <w:sz w:val="32"/>
          <w:szCs w:val="32"/>
        </w:rPr>
        <w:t>2020年度专利授权量、版权登记数量或商标注册核准数量持续增长；</w:t>
      </w:r>
    </w:p>
    <w:p>
      <w:pPr>
        <w:pStyle w:val="14"/>
        <w:widowControl/>
        <w:numPr>
          <w:ilvl w:val="0"/>
          <w:numId w:val="2"/>
        </w:numPr>
        <w:snapToGrid w:val="0"/>
        <w:spacing w:line="560" w:lineRule="exact"/>
        <w:ind w:left="0" w:firstLine="640"/>
        <w:rPr>
          <w:rFonts w:ascii="仿宋_GB2312" w:eastAsia="仿宋_GB2312"/>
          <w:sz w:val="32"/>
          <w:szCs w:val="32"/>
        </w:rPr>
      </w:pPr>
      <w:r>
        <w:rPr>
          <w:rFonts w:hint="eastAsia" w:ascii="仿宋_GB2312" w:eastAsia="仿宋_GB2312"/>
          <w:sz w:val="32"/>
          <w:szCs w:val="32"/>
        </w:rPr>
        <w:t>2020年度对知识产权工作的投入(含知识产权创造、管理、保护和运用)占研发投入2%以上（含2%）。</w:t>
      </w:r>
    </w:p>
    <w:p>
      <w:pPr>
        <w:widowControl/>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（六）尚未被认定为国家知识产权优势、示范企业（单位）和广东省知识产权优势、示范企业（单位）。</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不予资助的情形</w:t>
      </w:r>
    </w:p>
    <w:p>
      <w:pPr>
        <w:snapToGrid w:val="0"/>
        <w:spacing w:line="560" w:lineRule="exact"/>
        <w:ind w:firstLine="640" w:firstLineChars="200"/>
        <w:rPr>
          <w:rFonts w:eastAsia="仿宋_GB2312"/>
          <w:b/>
          <w:sz w:val="32"/>
        </w:rPr>
      </w:pPr>
      <w:r>
        <w:rPr>
          <w:rFonts w:hint="eastAsia" w:eastAsia="仿宋_GB2312"/>
          <w:sz w:val="32"/>
        </w:rPr>
        <w:t>申请人有下列情形之一的，不予资助：</w:t>
      </w:r>
    </w:p>
    <w:p>
      <w:pPr>
        <w:snapToGrid w:val="0"/>
        <w:spacing w:line="560" w:lineRule="exact"/>
        <w:ind w:firstLine="640" w:firstLineChars="200"/>
        <w:rPr>
          <w:rFonts w:eastAsia="仿宋_GB2312"/>
          <w:b/>
          <w:sz w:val="32"/>
        </w:rPr>
      </w:pPr>
      <w:r>
        <w:rPr>
          <w:rFonts w:hint="eastAsia" w:eastAsia="仿宋_GB2312"/>
          <w:sz w:val="32"/>
        </w:rPr>
        <w:t>（一）不符合相关法律法规、专项资金管理办法、操作规程和申报指南要求的；</w:t>
      </w:r>
    </w:p>
    <w:p>
      <w:pPr>
        <w:snapToGrid w:val="0"/>
        <w:spacing w:line="560" w:lineRule="exact"/>
        <w:ind w:firstLine="640" w:firstLineChars="200"/>
        <w:rPr>
          <w:rFonts w:eastAsia="仿宋_GB2312"/>
          <w:b/>
          <w:sz w:val="32"/>
        </w:rPr>
      </w:pPr>
      <w:r>
        <w:rPr>
          <w:rFonts w:hint="eastAsia" w:eastAsia="仿宋_GB2312"/>
          <w:sz w:val="32"/>
        </w:rPr>
        <w:t>（二）被列入市财政专项资金违规、失信信息名单的；</w:t>
      </w:r>
    </w:p>
    <w:p>
      <w:pPr>
        <w:snapToGrid w:val="0"/>
        <w:spacing w:line="560" w:lineRule="exact"/>
        <w:ind w:firstLine="640" w:firstLineChars="200"/>
        <w:rPr>
          <w:rFonts w:eastAsia="仿宋_GB2312"/>
          <w:b/>
          <w:sz w:val="32"/>
        </w:rPr>
      </w:pPr>
      <w:r>
        <w:rPr>
          <w:rFonts w:hint="eastAsia" w:eastAsia="仿宋_GB2312"/>
          <w:sz w:val="32"/>
        </w:rPr>
        <w:t>（三）经查询深圳市信用网，被列入国家有关部门的《严重违法失信企业名单》；</w:t>
      </w:r>
    </w:p>
    <w:p>
      <w:pPr>
        <w:snapToGrid w:val="0"/>
        <w:spacing w:line="560" w:lineRule="exact"/>
        <w:ind w:firstLine="640" w:firstLineChars="200"/>
        <w:rPr>
          <w:rFonts w:eastAsia="仿宋_GB2312"/>
          <w:b/>
          <w:sz w:val="32"/>
        </w:rPr>
      </w:pPr>
      <w:r>
        <w:rPr>
          <w:rFonts w:hint="eastAsia" w:eastAsia="仿宋_GB2312"/>
          <w:sz w:val="32"/>
        </w:rPr>
        <w:t>（四）拒不执行生效的知识产权行政裁决或者司法裁判的，或侵犯他人知识产权构成犯罪的；</w:t>
      </w:r>
    </w:p>
    <w:p>
      <w:pPr>
        <w:snapToGrid w:val="0"/>
        <w:spacing w:line="560" w:lineRule="exact"/>
        <w:ind w:firstLine="640" w:firstLineChars="200"/>
        <w:rPr>
          <w:rFonts w:eastAsia="仿宋_GB2312"/>
          <w:b/>
          <w:sz w:val="32"/>
        </w:rPr>
      </w:pPr>
      <w:r>
        <w:rPr>
          <w:rFonts w:hint="eastAsia" w:eastAsia="仿宋_GB2312"/>
          <w:sz w:val="32"/>
        </w:rPr>
        <w:t>（五）经查询人民法院公告网，发现已进入破产清算程序的；</w:t>
      </w:r>
    </w:p>
    <w:p>
      <w:pPr>
        <w:snapToGrid w:val="0"/>
        <w:spacing w:line="560" w:lineRule="exact"/>
        <w:ind w:firstLine="640" w:firstLineChars="200"/>
        <w:rPr>
          <w:rFonts w:ascii="仿宋_GB2312" w:eastAsia="仿宋_GB2312"/>
          <w:b/>
          <w:sz w:val="32"/>
        </w:rPr>
      </w:pPr>
      <w:r>
        <w:rPr>
          <w:rFonts w:hint="eastAsia" w:ascii="仿宋_GB2312" w:eastAsia="仿宋_GB2312"/>
          <w:sz w:val="32"/>
        </w:rPr>
        <w:t>（六）其申请项目已根据《深圳市知识产权运营服务体系建设专项资金操作规程》（深市监规〔</w:t>
      </w:r>
      <w:r>
        <w:rPr>
          <w:rFonts w:ascii="仿宋_GB2312" w:eastAsia="仿宋_GB2312"/>
          <w:sz w:val="32"/>
        </w:rPr>
        <w:t>2019〕6号）等有关规定给予相同或类似资助的。</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申请材料</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项目申请表</w:t>
      </w:r>
    </w:p>
    <w:p>
      <w:pPr>
        <w:snapToGrid w:val="0"/>
        <w:spacing w:line="560" w:lineRule="exact"/>
        <w:ind w:left="640"/>
        <w:rPr>
          <w:rFonts w:ascii="仿宋_GB2312" w:eastAsia="仿宋_GB2312"/>
          <w:sz w:val="32"/>
          <w:szCs w:val="32"/>
        </w:rPr>
      </w:pPr>
      <w:r>
        <w:rPr>
          <w:rFonts w:hint="eastAsia" w:ascii="仿宋_GB2312" w:eastAsia="仿宋_GB2312"/>
          <w:sz w:val="32"/>
          <w:szCs w:val="32"/>
        </w:rPr>
        <w:t>在申报系统上在线填写项目申报信息。</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申请人主体资格材料</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企业申请人无须提交营业执照，将由系统后台进行信息核实。非企业申请人根据单位性质提交事业单位法人证书、民办非企业单位登记证书等主体资格材料，提交形式为原件或者加盖申请人公章的复印件的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申请人名称等事项内容发生变更的，企业申请人无须额外提交证明，非企业申请人（事业单位、社会组织等）须提交主管部门出具的有关变更证明文件，提交形式为原件或者加盖申请人公章的复印件的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申请人自行申报的，需提交《申报项目委托情况申明》（参照申报系统材料清单自检范本表格模板）、经办人的身份证（正反面）、社保卡（正反面）和近三个月社保缴纳费用明细表（能清晰显示社保缴纳单位全称，且与申请人名称一致），上述材料（原件或复印件）均需加盖申请人清晰公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板）、代办机构经办人的身份证（正反面）、社保卡（正反面）和近三个月社保缴纳费用明细表（能清晰显示社保缴纳单位全称，且与代办机构名称一致），上述材料（原件或复印件）均需加盖申请人和代办机构双方公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企业申请人需提交人民法院公告网有关法律状态查询结果（网址为https://rmfygg.court.gov.cn，公告类型选择“破产文书”进行查询，查询结果应是“没有找到符合条件的相关内容”），将查询结果网络页面全屏截图后打印，在打印件上加盖申请人公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4．上述1至3项申请人主体资格材料须全部合并为一个pdf格式文件，再上传申报系统。文件名格式为“申请资助类别_申请人名称_申请人主体资格材料”，例如“2021年度深圳市</w:t>
      </w:r>
      <w:r>
        <w:rPr>
          <w:rFonts w:hint="eastAsia" w:ascii="仿宋_GB2312" w:hAnsi="华文中宋" w:eastAsia="仿宋_GB2312" w:cs="黑体"/>
          <w:bCs/>
          <w:sz w:val="32"/>
          <w:szCs w:val="32"/>
        </w:rPr>
        <w:t>知识产权优势单位资助_</w:t>
      </w:r>
      <w:r>
        <w:rPr>
          <w:rFonts w:hint="eastAsia" w:ascii="仿宋_GB2312" w:eastAsia="仿宋_GB2312"/>
          <w:sz w:val="32"/>
          <w:szCs w:val="32"/>
        </w:rPr>
        <w:t>深圳市XXX公司_</w:t>
      </w:r>
      <w:r>
        <w:rPr>
          <w:rFonts w:hint="eastAsia" w:ascii="仿宋_GB2312" w:hAnsi="华文中宋" w:eastAsia="仿宋_GB2312" w:cs="黑体"/>
          <w:bCs/>
          <w:sz w:val="32"/>
          <w:szCs w:val="32"/>
        </w:rPr>
        <w:t>申请人</w:t>
      </w:r>
      <w:r>
        <w:rPr>
          <w:rFonts w:hint="eastAsia" w:ascii="仿宋_GB2312" w:eastAsia="仿宋_GB2312"/>
          <w:sz w:val="32"/>
          <w:szCs w:val="32"/>
        </w:rPr>
        <w:t>主体资格材料”。</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知识产权队伍建设和制度建设有关材料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1．提交申请人的知识产权专职人员名单，以及名单中各人的身份证明文件、职称证明文件（律师资格证、专利代理师资格证书、</w:t>
      </w:r>
      <w:r>
        <w:rPr>
          <w:rFonts w:ascii="仿宋_GB2312" w:eastAsia="仿宋_GB2312"/>
          <w:sz w:val="32"/>
          <w:szCs w:val="32"/>
        </w:rPr>
        <w:t>深圳市人力资源和社会保障局</w:t>
      </w:r>
      <w:r>
        <w:rPr>
          <w:rFonts w:hint="eastAsia" w:ascii="仿宋_GB2312" w:eastAsia="仿宋_GB2312"/>
          <w:sz w:val="32"/>
          <w:szCs w:val="32"/>
        </w:rPr>
        <w:t>评定的知识产权中级、高级职称证明文件等）和近三个月社保缴纳凭证。</w:t>
      </w:r>
    </w:p>
    <w:p>
      <w:pPr>
        <w:numPr>
          <w:ilvl w:val="255"/>
          <w:numId w:val="0"/>
        </w:num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eastAsia="仿宋_GB2312"/>
          <w:sz w:val="32"/>
          <w:szCs w:val="32"/>
        </w:rPr>
        <w:t>．</w:t>
      </w:r>
      <w:r>
        <w:rPr>
          <w:rFonts w:hint="eastAsia" w:ascii="仿宋_GB2312" w:hAnsi="仿宋_GB2312" w:eastAsia="仿宋_GB2312" w:cs="仿宋_GB2312"/>
          <w:color w:val="000000"/>
          <w:sz w:val="32"/>
          <w:szCs w:val="32"/>
        </w:rPr>
        <w:t>知识产权管理制度有关情况按照申报系统申请表有关填表要求进行填写，包括但不限于知识产权机构管理制度、教育培训制度、奖励激励机制、技术及商业保密管理制度、竞业禁止（限制）制度等。</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3．通过《企业知识产权管理规范》《高等学校知识产权管理规范》或《科研组织知识产权管理规范》认证的有关证明材料（证书等）。</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4.己建立知识产权信息运用机制的有关情况按照申报系统申请表有关填表要求进行填写。</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知识产权状况有关材料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参照系统申请页面有关材料清单自检范本表格进行填写。</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2020年度知识产权工作投入情况有关材料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提交由会计师事务所出具的申请人知识产权工作投入财务报告，其中需明确2020年度申请人的知识产权工作投入（含知识产权创造、管理、保护和运用)和研发投入具体金额。能够提供有关评估机构出具的知识产权类资产评估材料的（包括但不限于近3年知识产权类资产价值及占总资产价值比例增长数据），同等条件下优先资助。</w:t>
      </w:r>
    </w:p>
    <w:p>
      <w:pPr>
        <w:pStyle w:val="14"/>
        <w:numPr>
          <w:ilvl w:val="0"/>
          <w:numId w:val="3"/>
        </w:numPr>
        <w:snapToGrid w:val="0"/>
        <w:spacing w:line="560" w:lineRule="exact"/>
        <w:ind w:firstLineChars="0"/>
        <w:rPr>
          <w:rFonts w:ascii="楷体_GB2312" w:eastAsia="楷体_GB2312"/>
          <w:b/>
          <w:sz w:val="32"/>
          <w:szCs w:val="32"/>
        </w:rPr>
      </w:pPr>
      <w:r>
        <w:rPr>
          <w:rFonts w:hint="eastAsia" w:ascii="楷体_GB2312" w:eastAsia="楷体_GB2312"/>
          <w:b/>
          <w:sz w:val="32"/>
          <w:szCs w:val="32"/>
        </w:rPr>
        <w:t>其它必要的证明材料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以上第（一）至第（六）项全部申请材料应当确保页面文字、公章、签名等实质性内容清晰可辨，各页面主要内容均为正向，不可横置或倒置。</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受理事宜</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（一）受理机关：</w:t>
      </w:r>
      <w:r>
        <w:rPr>
          <w:rFonts w:hint="eastAsia" w:ascii="仿宋_GB2312" w:eastAsia="仿宋_GB2312"/>
          <w:sz w:val="32"/>
          <w:szCs w:val="32"/>
        </w:rPr>
        <w:t>深圳市市场监督管理局。</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仿宋_GB2312" w:eastAsia="仿宋_GB2312" w:cs="Times New Roman"/>
          <w:sz w:val="32"/>
          <w:szCs w:val="32"/>
        </w:rPr>
      </w:pPr>
      <w:r>
        <w:rPr>
          <w:rFonts w:hint="eastAsia" w:ascii="楷体_GB2312" w:eastAsia="楷体_GB2312"/>
          <w:b/>
          <w:sz w:val="32"/>
          <w:szCs w:val="32"/>
          <w:lang w:val="en-US" w:eastAsia="zh-CN"/>
        </w:rPr>
        <w:t>（二）受理时间：</w:t>
      </w:r>
      <w:r>
        <w:rPr>
          <w:rFonts w:hint="eastAsia" w:ascii="仿宋_GB2312" w:eastAsia="仿宋_GB2312" w:cs="Times New Roman"/>
          <w:b/>
          <w:bCs/>
          <w:sz w:val="32"/>
          <w:szCs w:val="32"/>
        </w:rPr>
        <w:t>2021年4月22日（1</w:t>
      </w:r>
      <w:r>
        <w:rPr>
          <w:rFonts w:hint="eastAsia" w:ascii="仿宋_GB2312" w:eastAsia="仿宋_GB2312" w:cs="Times New Roman"/>
          <w:b/>
          <w:bCs/>
          <w:sz w:val="32"/>
          <w:szCs w:val="32"/>
          <w:lang w:val="en-US" w:eastAsia="zh-CN"/>
        </w:rPr>
        <w:t>4</w:t>
      </w:r>
      <w:r>
        <w:rPr>
          <w:rFonts w:hint="eastAsia" w:ascii="仿宋_GB2312" w:eastAsia="仿宋_GB2312" w:cs="Times New Roman"/>
          <w:b/>
          <w:bCs/>
          <w:sz w:val="32"/>
          <w:szCs w:val="32"/>
        </w:rPr>
        <w:t>:00）至2021年5月</w:t>
      </w:r>
      <w:r>
        <w:rPr>
          <w:rFonts w:hint="eastAsia" w:ascii="仿宋_GB2312" w:eastAsia="仿宋_GB2312" w:cs="Times New Roman"/>
          <w:b/>
          <w:bCs/>
          <w:sz w:val="32"/>
          <w:szCs w:val="32"/>
          <w:lang w:val="en-US" w:eastAsia="zh-CN"/>
        </w:rPr>
        <w:t>10</w:t>
      </w:r>
      <w:bookmarkStart w:id="1" w:name="_GoBack"/>
      <w:bookmarkEnd w:id="1"/>
      <w:r>
        <w:rPr>
          <w:rFonts w:hint="eastAsia" w:ascii="仿宋_GB2312" w:eastAsia="仿宋_GB2312" w:cs="Times New Roman"/>
          <w:b/>
          <w:bCs/>
          <w:sz w:val="32"/>
          <w:szCs w:val="32"/>
        </w:rPr>
        <w:t>日（18:00截止）。</w:t>
      </w:r>
      <w:r>
        <w:rPr>
          <w:rFonts w:hint="eastAsia" w:ascii="仿宋_GB2312" w:eastAsia="仿宋_GB2312" w:cs="Times New Roman"/>
          <w:sz w:val="32"/>
          <w:szCs w:val="32"/>
          <w:lang w:val="en-US" w:eastAsia="zh-CN"/>
        </w:rPr>
        <w:t>申报时无需提交纸质材料，申请人在受理时间内在指定申报系统完成提交即可。</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（三）申报方式</w:t>
      </w:r>
    </w:p>
    <w:p>
      <w:pPr>
        <w:keepNext w:val="0"/>
        <w:keepLines w:val="0"/>
        <w:pageBreakBefore w:val="0"/>
        <w:numPr>
          <w:ilvl w:val="255"/>
          <w:numId w:val="0"/>
        </w:numPr>
        <w:kinsoku/>
        <w:wordWrap/>
        <w:overflowPunct/>
        <w:topLinePunct w:val="0"/>
        <w:autoSpaceDE/>
        <w:autoSpaceDN/>
        <w:bidi w:val="0"/>
        <w:adjustRightIn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numPr>
          <w:ilvl w:val="255"/>
          <w:numId w:val="0"/>
        </w:numPr>
        <w:snapToGrid w:val="0"/>
        <w:spacing w:line="560" w:lineRule="exact"/>
        <w:ind w:firstLine="640" w:firstLineChars="200"/>
        <w:rPr>
          <w:rFonts w:ascii="仿宋_GB2312" w:hAnsi="Times New Roman" w:eastAsia="仿宋_GB2312"/>
          <w:kern w:val="0"/>
          <w:sz w:val="32"/>
          <w:szCs w:val="32"/>
        </w:rPr>
      </w:pPr>
      <w:r>
        <w:rPr>
          <w:rFonts w:hint="eastAsia" w:ascii="仿宋_GB2312" w:eastAsia="仿宋_GB2312"/>
          <w:sz w:val="32"/>
          <w:szCs w:val="32"/>
        </w:rPr>
        <w:t>登录申报系统后，选择办理情形“深圳市知识产权优势单位资助申报”，阅读并勾选同意《广东省网上办事大厅服务条款》内容，点击“下一步”进入申报；或者，登录广东省政务网，在“切换区域”和“部门”分别选择“深圳市”和“市场监督管理局”，点击“公共服务”，找到深圳市知识产权优势单位资助申报，或者直接搜索“深圳市知识产权优势单位资助申报”，选中后进入申报页面。</w:t>
      </w:r>
      <w:r>
        <w:rPr>
          <w:rFonts w:ascii="仿宋_GB2312" w:hAnsi="Times New Roman" w:eastAsia="仿宋_GB2312"/>
          <w:kern w:val="0"/>
          <w:sz w:val="32"/>
          <w:szCs w:val="32"/>
        </w:rPr>
        <w:t>将本指南第</w:t>
      </w:r>
      <w:r>
        <w:rPr>
          <w:rFonts w:hint="eastAsia" w:ascii="仿宋_GB2312" w:hAnsi="Times New Roman" w:eastAsia="仿宋_GB2312"/>
          <w:kern w:val="0"/>
          <w:sz w:val="32"/>
          <w:szCs w:val="32"/>
        </w:rPr>
        <w:t>六</w:t>
      </w:r>
      <w:r>
        <w:rPr>
          <w:rFonts w:ascii="仿宋_GB2312" w:hAnsi="Times New Roman" w:eastAsia="仿宋_GB2312"/>
          <w:kern w:val="0"/>
          <w:sz w:val="32"/>
          <w:szCs w:val="32"/>
        </w:rPr>
        <w:t>条要求的</w:t>
      </w:r>
      <w:r>
        <w:rPr>
          <w:rFonts w:hint="eastAsia" w:ascii="仿宋_GB2312" w:hAnsi="Times New Roman" w:eastAsia="仿宋_GB2312"/>
          <w:kern w:val="0"/>
          <w:sz w:val="32"/>
          <w:szCs w:val="32"/>
        </w:rPr>
        <w:t>全部</w:t>
      </w:r>
      <w:r>
        <w:rPr>
          <w:rFonts w:ascii="仿宋_GB2312" w:hAnsi="Times New Roman" w:eastAsia="仿宋_GB2312"/>
          <w:kern w:val="0"/>
          <w:sz w:val="32"/>
          <w:szCs w:val="32"/>
        </w:rPr>
        <w:t>申</w:t>
      </w:r>
      <w:r>
        <w:rPr>
          <w:rFonts w:hint="eastAsia" w:ascii="仿宋_GB2312" w:hAnsi="Times New Roman" w:eastAsia="仿宋_GB2312"/>
          <w:kern w:val="0"/>
          <w:sz w:val="32"/>
          <w:szCs w:val="32"/>
        </w:rPr>
        <w:t>请</w:t>
      </w:r>
      <w:r>
        <w:rPr>
          <w:rFonts w:ascii="仿宋_GB2312" w:hAnsi="Times New Roman" w:eastAsia="仿宋_GB2312"/>
          <w:kern w:val="0"/>
          <w:sz w:val="32"/>
          <w:szCs w:val="32"/>
        </w:rPr>
        <w:t>材料按照申报系统中的</w:t>
      </w:r>
      <w:r>
        <w:rPr>
          <w:rFonts w:hint="eastAsia" w:ascii="仿宋_GB2312" w:hAnsi="Times New Roman" w:eastAsia="仿宋_GB2312"/>
          <w:kern w:val="0"/>
          <w:sz w:val="32"/>
          <w:szCs w:val="32"/>
        </w:rPr>
        <w:t>有关</w:t>
      </w:r>
      <w:r>
        <w:rPr>
          <w:rFonts w:ascii="仿宋_GB2312" w:hAnsi="Times New Roman" w:eastAsia="仿宋_GB2312"/>
          <w:kern w:val="0"/>
          <w:sz w:val="32"/>
          <w:szCs w:val="32"/>
        </w:rPr>
        <w:t>提示要求</w:t>
      </w:r>
      <w:r>
        <w:rPr>
          <w:rFonts w:hint="eastAsia" w:ascii="仿宋_GB2312" w:hAnsi="Times New Roman" w:eastAsia="仿宋_GB2312"/>
          <w:kern w:val="0"/>
          <w:sz w:val="32"/>
          <w:szCs w:val="32"/>
        </w:rPr>
        <w:t>分别</w:t>
      </w:r>
      <w:r>
        <w:rPr>
          <w:rFonts w:ascii="仿宋_GB2312" w:hAnsi="Times New Roman" w:eastAsia="仿宋_GB2312"/>
          <w:kern w:val="0"/>
          <w:sz w:val="32"/>
          <w:szCs w:val="32"/>
        </w:rPr>
        <w:t>上传。</w:t>
      </w:r>
    </w:p>
    <w:p>
      <w:pPr>
        <w:numPr>
          <w:ilvl w:val="255"/>
          <w:numId w:val="0"/>
        </w:numPr>
        <w:snapToGrid w:val="0"/>
        <w:spacing w:line="560" w:lineRule="exact"/>
        <w:ind w:firstLine="640" w:firstLineChars="200"/>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平安科技人员</w:t>
      </w:r>
      <w:r>
        <w:rPr>
          <w:rFonts w:hint="eastAsia" w:ascii="仿宋_GB2312" w:eastAsia="仿宋_GB2312"/>
          <w:color w:val="000000" w:themeColor="text1"/>
          <w:sz w:val="32"/>
          <w:szCs w:val="32"/>
        </w:rPr>
        <w:t>黄工13480726201</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陈工18575553691，座机</w:t>
      </w:r>
      <w:r>
        <w:rPr>
          <w:rFonts w:hint="eastAsia" w:ascii="仿宋_GB2312" w:eastAsia="仿宋_GB2312"/>
          <w:color w:val="000000" w:themeColor="text1"/>
          <w:sz w:val="32"/>
          <w:szCs w:val="32"/>
          <w:lang w:val="en-US" w:eastAsia="zh-CN"/>
        </w:rPr>
        <w:t>号0755-</w:t>
      </w:r>
      <w:r>
        <w:rPr>
          <w:rFonts w:hint="eastAsia" w:ascii="仿宋_GB2312" w:eastAsia="仿宋_GB2312"/>
          <w:color w:val="000000" w:themeColor="text1"/>
          <w:sz w:val="32"/>
          <w:szCs w:val="32"/>
        </w:rPr>
        <w:t>88670184</w:t>
      </w:r>
      <w:r>
        <w:rPr>
          <w:rFonts w:hint="eastAsia" w:ascii="仿宋_GB2312" w:hAnsi="仿宋_GB2312" w:eastAsia="仿宋_GB2312" w:cs="仿宋_GB2312"/>
          <w:color w:val="000000" w:themeColor="text1"/>
          <w:sz w:val="32"/>
          <w:szCs w:val="32"/>
        </w:rPr>
        <w:t>。申报业务咨询电话：</w:t>
      </w:r>
      <w:r>
        <w:rPr>
          <w:rFonts w:hint="eastAsia" w:ascii="仿宋_GB2312" w:hAnsi="仿宋_GB2312" w:eastAsia="仿宋_GB2312" w:cs="仿宋_GB2312"/>
          <w:color w:val="000000" w:themeColor="text1"/>
          <w:sz w:val="32"/>
          <w:szCs w:val="32"/>
          <w:lang w:val="en-US" w:eastAsia="zh-CN"/>
        </w:rPr>
        <w:t>0755-</w:t>
      </w:r>
      <w:r>
        <w:rPr>
          <w:rFonts w:ascii="仿宋_GB2312" w:hAnsi="Verdana" w:eastAsia="仿宋_GB2312"/>
          <w:color w:val="000000" w:themeColor="text1"/>
          <w:kern w:val="0"/>
          <w:sz w:val="32"/>
          <w:szCs w:val="32"/>
        </w:rPr>
        <w:t>83070173</w:t>
      </w:r>
      <w:r>
        <w:rPr>
          <w:rFonts w:hint="eastAsia" w:ascii="仿宋_GB2312" w:hAnsi="仿宋_GB2312" w:eastAsia="仿宋_GB2312" w:cs="仿宋_GB2312"/>
          <w:color w:val="000000" w:themeColor="text1"/>
          <w:sz w:val="32"/>
          <w:szCs w:val="32"/>
        </w:rPr>
        <w:t>。办公时间：</w:t>
      </w:r>
      <w:r>
        <w:rPr>
          <w:rFonts w:hint="eastAsia" w:ascii="仿宋_GB2312" w:eastAsia="仿宋_GB2312" w:cs="仿宋_GB2312"/>
          <w:color w:val="000000" w:themeColor="text1"/>
          <w:kern w:val="0"/>
          <w:sz w:val="32"/>
          <w:szCs w:val="32"/>
        </w:rPr>
        <w:t>星期一至星期</w:t>
      </w:r>
      <w:r>
        <w:rPr>
          <w:rFonts w:hint="eastAsia" w:ascii="仿宋_GB2312" w:eastAsia="仿宋_GB2312" w:cs="仿宋_GB2312"/>
          <w:kern w:val="0"/>
          <w:sz w:val="32"/>
          <w:szCs w:val="32"/>
        </w:rPr>
        <w:t>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cs="仿宋_GB2312"/>
          <w:bCs/>
          <w:sz w:val="32"/>
          <w:szCs w:val="32"/>
        </w:rPr>
        <w:t>决定机关</w:t>
      </w:r>
    </w:p>
    <w:p>
      <w:pPr>
        <w:snapToGrid w:val="0"/>
        <w:spacing w:line="560" w:lineRule="exact"/>
        <w:ind w:firstLine="640" w:firstLineChars="200"/>
        <w:rPr>
          <w:rFonts w:eastAsia="仿宋_GB2312"/>
          <w:sz w:val="32"/>
        </w:rPr>
      </w:pPr>
      <w:r>
        <w:rPr>
          <w:rFonts w:hint="eastAsia" w:eastAsia="仿宋_GB2312"/>
          <w:sz w:val="32"/>
        </w:rPr>
        <w:t>深圳市市场监督管理局</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办理程序与注意事项</w:t>
      </w:r>
    </w:p>
    <w:p>
      <w:pPr>
        <w:pStyle w:val="14"/>
        <w:numPr>
          <w:ilvl w:val="255"/>
          <w:numId w:val="0"/>
        </w:numPr>
        <w:snapToGrid w:val="0"/>
        <w:spacing w:line="560" w:lineRule="exact"/>
        <w:ind w:firstLine="643" w:firstLineChars="200"/>
        <w:rPr>
          <w:rFonts w:ascii="楷体_GB2312" w:eastAsia="楷体_GB2312"/>
          <w:sz w:val="32"/>
        </w:rPr>
      </w:pPr>
      <w:r>
        <w:rPr>
          <w:rFonts w:hint="eastAsia" w:ascii="楷体_GB2312" w:eastAsia="楷体_GB2312"/>
          <w:b/>
          <w:sz w:val="32"/>
        </w:rPr>
        <w:t>（一）办理程序</w:t>
      </w:r>
    </w:p>
    <w:p>
      <w:pPr>
        <w:numPr>
          <w:ilvl w:val="255"/>
          <w:numId w:val="0"/>
        </w:numPr>
        <w:snapToGrid w:val="0"/>
        <w:spacing w:line="560" w:lineRule="exact"/>
        <w:ind w:firstLine="640" w:firstLineChars="200"/>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pStyle w:val="14"/>
        <w:numPr>
          <w:ilvl w:val="255"/>
          <w:numId w:val="0"/>
        </w:numPr>
        <w:snapToGrid w:val="0"/>
        <w:spacing w:line="560" w:lineRule="exact"/>
        <w:ind w:firstLine="643" w:firstLineChars="200"/>
        <w:rPr>
          <w:rFonts w:ascii="楷体_GB2312" w:eastAsia="楷体_GB2312"/>
          <w:sz w:val="32"/>
        </w:rPr>
      </w:pPr>
      <w:r>
        <w:rPr>
          <w:rFonts w:hint="eastAsia" w:ascii="楷体_GB2312" w:eastAsia="楷体_GB2312"/>
          <w:b/>
          <w:sz w:val="32"/>
        </w:rPr>
        <w:t>（二）注意事项</w:t>
      </w:r>
    </w:p>
    <w:p>
      <w:pPr>
        <w:pStyle w:val="2"/>
        <w:snapToGrid w:val="0"/>
        <w:spacing w:before="0" w:beforeAutospacing="0" w:after="0" w:afterAutospacing="0" w:line="560" w:lineRule="exact"/>
        <w:ind w:firstLine="640" w:firstLineChars="200"/>
        <w:jc w:val="both"/>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r>
        <w:rPr>
          <w:rFonts w:ascii="仿宋_GB2312" w:hAnsi="仿宋_GB2312" w:eastAsia="仿宋_GB2312" w:cs="仿宋_GB2312"/>
          <w:b w:val="0"/>
          <w:bCs/>
          <w:sz w:val="32"/>
          <w:szCs w:val="32"/>
        </w:rPr>
        <w:t>请牢记申报帐户名称及其密码，丢失后无法找回。</w:t>
      </w:r>
    </w:p>
    <w:p>
      <w:pPr>
        <w:numPr>
          <w:ilvl w:val="255"/>
          <w:numId w:val="0"/>
        </w:num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hAnsi="仿宋_GB2312" w:eastAsia="仿宋_GB2312" w:cs="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numPr>
          <w:ilvl w:val="255"/>
          <w:numId w:val="0"/>
        </w:numPr>
        <w:snapToGrid w:val="0"/>
        <w:spacing w:line="560" w:lineRule="exact"/>
        <w:ind w:firstLine="640" w:firstLineChars="200"/>
        <w:rPr>
          <w:rFonts w:ascii="仿宋_GB2312" w:hAnsi="仿宋_GB2312" w:eastAsia="仿宋_GB2312" w:cs="仿宋_GB2312"/>
          <w:b/>
          <w:sz w:val="32"/>
          <w:szCs w:val="32"/>
        </w:rPr>
      </w:pPr>
      <w:r>
        <w:rPr>
          <w:rFonts w:hint="eastAsia" w:ascii="仿宋_GB2312" w:eastAsia="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合规提示</w:t>
      </w:r>
    </w:p>
    <w:p>
      <w:pPr>
        <w:pStyle w:val="2"/>
        <w:numPr>
          <w:ilvl w:val="0"/>
          <w:numId w:val="4"/>
        </w:numPr>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2"/>
        <w:numPr>
          <w:ilvl w:val="0"/>
          <w:numId w:val="4"/>
        </w:numPr>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2"/>
        <w:snapToGrid w:val="0"/>
        <w:spacing w:before="0" w:beforeAutospacing="0" w:after="0" w:afterAutospacing="0" w:line="560" w:lineRule="exact"/>
        <w:ind w:firstLine="640" w:firstLineChars="200"/>
        <w:jc w:val="both"/>
        <w:rPr>
          <w:rFonts w:hint="default"/>
        </w:rPr>
      </w:pPr>
      <w:r>
        <w:rPr>
          <w:rFonts w:ascii="仿宋_GB2312" w:eastAsia="仿宋_GB2312"/>
          <w:b w:val="0"/>
          <w:sz w:val="32"/>
          <w:szCs w:val="32"/>
        </w:rPr>
        <w:t>（三）根据上述规定，申请人申请资助时必须作出合规承诺（在申报系统中操作），否则不予受理。</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收费情况</w:t>
      </w:r>
    </w:p>
    <w:p>
      <w:pPr>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不收费。</w:t>
      </w:r>
    </w:p>
    <w:p>
      <w:pPr>
        <w:pStyle w:val="2"/>
        <w:numPr>
          <w:ilvl w:val="0"/>
          <w:numId w:val="1"/>
        </w:numPr>
        <w:snapToGrid w:val="0"/>
        <w:spacing w:before="0" w:beforeAutospacing="0" w:after="0" w:afterAutospacing="0" w:line="560" w:lineRule="exact"/>
        <w:ind w:left="1288" w:hanging="658"/>
        <w:jc w:val="both"/>
        <w:rPr>
          <w:rFonts w:hint="default" w:ascii="Times New Roman" w:hAnsi="Times New Roman" w:eastAsia="黑体"/>
          <w:b w:val="0"/>
          <w:sz w:val="32"/>
        </w:rPr>
      </w:pPr>
      <w:r>
        <w:rPr>
          <w:rFonts w:ascii="Times New Roman" w:hAnsi="Times New Roman" w:eastAsia="黑体"/>
          <w:b w:val="0"/>
          <w:sz w:val="32"/>
        </w:rPr>
        <w:t>年审或年检</w:t>
      </w:r>
    </w:p>
    <w:p>
      <w:pPr>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无年审、年检。</w:t>
      </w:r>
    </w:p>
    <w:p>
      <w:pPr>
        <w:snapToGrid w:val="0"/>
        <w:spacing w:beforeLines="100" w:line="600" w:lineRule="exact"/>
        <w:jc w:val="left"/>
        <w:rPr>
          <w:rFonts w:ascii="仿宋_GB2312" w:hAnsi="宋体" w:eastAsia="仿宋_GB2312" w:cs="宋体"/>
          <w:color w:val="000000"/>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234"/>
    </w:sdtPr>
    <w:sdtContent>
      <w:p>
        <w:pPr>
          <w:pStyle w:val="5"/>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683D1A"/>
    <w:multiLevelType w:val="singleLevel"/>
    <w:tmpl w:val="E1683D1A"/>
    <w:lvl w:ilvl="0" w:tentative="0">
      <w:start w:val="1"/>
      <w:numFmt w:val="chineseCounting"/>
      <w:suff w:val="nothing"/>
      <w:lvlText w:val="（%1）"/>
      <w:lvlJc w:val="left"/>
      <w:rPr>
        <w:rFonts w:hint="eastAsia"/>
      </w:rPr>
    </w:lvl>
  </w:abstractNum>
  <w:abstractNum w:abstractNumId="1">
    <w:nsid w:val="38321A64"/>
    <w:multiLevelType w:val="multilevel"/>
    <w:tmpl w:val="38321A64"/>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654547D8"/>
    <w:multiLevelType w:val="multilevel"/>
    <w:tmpl w:val="654547D8"/>
    <w:lvl w:ilvl="0" w:tentative="0">
      <w:start w:val="1"/>
      <w:numFmt w:val="japaneseCounting"/>
      <w:lvlText w:val="（%1）"/>
      <w:lvlJc w:val="left"/>
      <w:pPr>
        <w:ind w:left="2245" w:hanging="1605"/>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78DF5BA5"/>
    <w:multiLevelType w:val="multilevel"/>
    <w:tmpl w:val="78DF5BA5"/>
    <w:lvl w:ilvl="0" w:tentative="0">
      <w:start w:val="1"/>
      <w:numFmt w:val="japaneseCounting"/>
      <w:lvlText w:val="%1、"/>
      <w:lvlJc w:val="left"/>
      <w:pPr>
        <w:ind w:left="2351" w:hanging="6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DFF672B"/>
    <w:rsid w:val="000075EA"/>
    <w:rsid w:val="00011052"/>
    <w:rsid w:val="000155CD"/>
    <w:rsid w:val="00056988"/>
    <w:rsid w:val="000707FD"/>
    <w:rsid w:val="00074F5A"/>
    <w:rsid w:val="00080DBD"/>
    <w:rsid w:val="000818B7"/>
    <w:rsid w:val="00095E1A"/>
    <w:rsid w:val="000966E2"/>
    <w:rsid w:val="000A089D"/>
    <w:rsid w:val="000A76A1"/>
    <w:rsid w:val="000C1DDF"/>
    <w:rsid w:val="000D22F4"/>
    <w:rsid w:val="000D5E16"/>
    <w:rsid w:val="000F0FD6"/>
    <w:rsid w:val="000F3250"/>
    <w:rsid w:val="001339C9"/>
    <w:rsid w:val="00133AB4"/>
    <w:rsid w:val="00136E1E"/>
    <w:rsid w:val="001411BF"/>
    <w:rsid w:val="00152BA7"/>
    <w:rsid w:val="00166E1D"/>
    <w:rsid w:val="00175046"/>
    <w:rsid w:val="00191396"/>
    <w:rsid w:val="00194144"/>
    <w:rsid w:val="001B00B0"/>
    <w:rsid w:val="001C2AAA"/>
    <w:rsid w:val="001E0399"/>
    <w:rsid w:val="001E5602"/>
    <w:rsid w:val="0021653D"/>
    <w:rsid w:val="0022057B"/>
    <w:rsid w:val="002232DB"/>
    <w:rsid w:val="00223EC7"/>
    <w:rsid w:val="002431BA"/>
    <w:rsid w:val="00245566"/>
    <w:rsid w:val="00257D54"/>
    <w:rsid w:val="00277C56"/>
    <w:rsid w:val="00284206"/>
    <w:rsid w:val="002933D8"/>
    <w:rsid w:val="002A60CA"/>
    <w:rsid w:val="002A6D59"/>
    <w:rsid w:val="002B1643"/>
    <w:rsid w:val="002C62A8"/>
    <w:rsid w:val="002E39EA"/>
    <w:rsid w:val="002E3B7E"/>
    <w:rsid w:val="002F3EE4"/>
    <w:rsid w:val="002F4B4C"/>
    <w:rsid w:val="00301C3D"/>
    <w:rsid w:val="00303C07"/>
    <w:rsid w:val="00316591"/>
    <w:rsid w:val="0032210A"/>
    <w:rsid w:val="00326D49"/>
    <w:rsid w:val="003523CC"/>
    <w:rsid w:val="003747B2"/>
    <w:rsid w:val="00384286"/>
    <w:rsid w:val="003A0DEC"/>
    <w:rsid w:val="003A66E4"/>
    <w:rsid w:val="003C1AA0"/>
    <w:rsid w:val="003C3EE4"/>
    <w:rsid w:val="003E18FB"/>
    <w:rsid w:val="003E7271"/>
    <w:rsid w:val="00407E88"/>
    <w:rsid w:val="00407EFA"/>
    <w:rsid w:val="00421C14"/>
    <w:rsid w:val="004A17E6"/>
    <w:rsid w:val="004A7EBD"/>
    <w:rsid w:val="004B68DA"/>
    <w:rsid w:val="004B6C09"/>
    <w:rsid w:val="005042ED"/>
    <w:rsid w:val="00506CDE"/>
    <w:rsid w:val="00540BBD"/>
    <w:rsid w:val="005447BD"/>
    <w:rsid w:val="00551E19"/>
    <w:rsid w:val="00573F50"/>
    <w:rsid w:val="0058797F"/>
    <w:rsid w:val="005A7BDF"/>
    <w:rsid w:val="005B2337"/>
    <w:rsid w:val="005C3186"/>
    <w:rsid w:val="005C467A"/>
    <w:rsid w:val="005F17F1"/>
    <w:rsid w:val="00603E71"/>
    <w:rsid w:val="00605F5F"/>
    <w:rsid w:val="0060757B"/>
    <w:rsid w:val="00615E82"/>
    <w:rsid w:val="00625D21"/>
    <w:rsid w:val="00655CFF"/>
    <w:rsid w:val="00683BB3"/>
    <w:rsid w:val="006A1475"/>
    <w:rsid w:val="006B3FD5"/>
    <w:rsid w:val="006B4A2B"/>
    <w:rsid w:val="006B7AC9"/>
    <w:rsid w:val="006C5ECF"/>
    <w:rsid w:val="006D3202"/>
    <w:rsid w:val="006F42CD"/>
    <w:rsid w:val="00702A6C"/>
    <w:rsid w:val="00724836"/>
    <w:rsid w:val="00731F15"/>
    <w:rsid w:val="007322E6"/>
    <w:rsid w:val="007328E7"/>
    <w:rsid w:val="00756785"/>
    <w:rsid w:val="00760811"/>
    <w:rsid w:val="0077249D"/>
    <w:rsid w:val="00791ED2"/>
    <w:rsid w:val="00794348"/>
    <w:rsid w:val="007A18F6"/>
    <w:rsid w:val="007B4988"/>
    <w:rsid w:val="007D739B"/>
    <w:rsid w:val="007F41B4"/>
    <w:rsid w:val="007F4E79"/>
    <w:rsid w:val="00801E53"/>
    <w:rsid w:val="008234B7"/>
    <w:rsid w:val="00842B30"/>
    <w:rsid w:val="00843082"/>
    <w:rsid w:val="00870717"/>
    <w:rsid w:val="00872C07"/>
    <w:rsid w:val="008B32F0"/>
    <w:rsid w:val="008B4F47"/>
    <w:rsid w:val="008E4B35"/>
    <w:rsid w:val="008F3C91"/>
    <w:rsid w:val="0090374B"/>
    <w:rsid w:val="00903D80"/>
    <w:rsid w:val="009079DF"/>
    <w:rsid w:val="009135BF"/>
    <w:rsid w:val="009300A4"/>
    <w:rsid w:val="009301AD"/>
    <w:rsid w:val="00930BE4"/>
    <w:rsid w:val="00941267"/>
    <w:rsid w:val="009930C1"/>
    <w:rsid w:val="009B3AFE"/>
    <w:rsid w:val="009B4D1C"/>
    <w:rsid w:val="009D1F64"/>
    <w:rsid w:val="009F54DB"/>
    <w:rsid w:val="00A0543D"/>
    <w:rsid w:val="00A140E3"/>
    <w:rsid w:val="00A33A89"/>
    <w:rsid w:val="00A341C0"/>
    <w:rsid w:val="00A35301"/>
    <w:rsid w:val="00A37221"/>
    <w:rsid w:val="00A62653"/>
    <w:rsid w:val="00A629D1"/>
    <w:rsid w:val="00A670D3"/>
    <w:rsid w:val="00A778C0"/>
    <w:rsid w:val="00A82E03"/>
    <w:rsid w:val="00A85668"/>
    <w:rsid w:val="00A903B4"/>
    <w:rsid w:val="00A9291C"/>
    <w:rsid w:val="00AA35A0"/>
    <w:rsid w:val="00AA58BF"/>
    <w:rsid w:val="00AB2216"/>
    <w:rsid w:val="00AC7505"/>
    <w:rsid w:val="00AE4664"/>
    <w:rsid w:val="00B1761D"/>
    <w:rsid w:val="00B22344"/>
    <w:rsid w:val="00B334BD"/>
    <w:rsid w:val="00B37417"/>
    <w:rsid w:val="00B44FE4"/>
    <w:rsid w:val="00BE50BB"/>
    <w:rsid w:val="00BE785A"/>
    <w:rsid w:val="00BF0655"/>
    <w:rsid w:val="00BF44BA"/>
    <w:rsid w:val="00C05823"/>
    <w:rsid w:val="00C06B29"/>
    <w:rsid w:val="00C40417"/>
    <w:rsid w:val="00C40441"/>
    <w:rsid w:val="00C7288C"/>
    <w:rsid w:val="00C75ED7"/>
    <w:rsid w:val="00CB190A"/>
    <w:rsid w:val="00CB6E5F"/>
    <w:rsid w:val="00CC6121"/>
    <w:rsid w:val="00CD0B7F"/>
    <w:rsid w:val="00CE0DB5"/>
    <w:rsid w:val="00CF3B68"/>
    <w:rsid w:val="00D04655"/>
    <w:rsid w:val="00D06022"/>
    <w:rsid w:val="00D0725E"/>
    <w:rsid w:val="00D354B6"/>
    <w:rsid w:val="00D37429"/>
    <w:rsid w:val="00D423B6"/>
    <w:rsid w:val="00D43628"/>
    <w:rsid w:val="00D46EF1"/>
    <w:rsid w:val="00D50E77"/>
    <w:rsid w:val="00D62982"/>
    <w:rsid w:val="00D829FA"/>
    <w:rsid w:val="00D85DCC"/>
    <w:rsid w:val="00D91647"/>
    <w:rsid w:val="00DC451B"/>
    <w:rsid w:val="00DE4A13"/>
    <w:rsid w:val="00DF4D1C"/>
    <w:rsid w:val="00E1639C"/>
    <w:rsid w:val="00E4671F"/>
    <w:rsid w:val="00E47EA5"/>
    <w:rsid w:val="00E65805"/>
    <w:rsid w:val="00E8022B"/>
    <w:rsid w:val="00E91941"/>
    <w:rsid w:val="00E91A47"/>
    <w:rsid w:val="00EA0841"/>
    <w:rsid w:val="00EB0407"/>
    <w:rsid w:val="00EB5072"/>
    <w:rsid w:val="00EC0ED8"/>
    <w:rsid w:val="00EE26E9"/>
    <w:rsid w:val="00F001DA"/>
    <w:rsid w:val="00F054AB"/>
    <w:rsid w:val="00F22530"/>
    <w:rsid w:val="00F3068D"/>
    <w:rsid w:val="00F31FBD"/>
    <w:rsid w:val="00F82EB9"/>
    <w:rsid w:val="00F95B32"/>
    <w:rsid w:val="00FA26C7"/>
    <w:rsid w:val="00FB1EC2"/>
    <w:rsid w:val="00FD6BC6"/>
    <w:rsid w:val="00FE6241"/>
    <w:rsid w:val="04563760"/>
    <w:rsid w:val="04D51108"/>
    <w:rsid w:val="0AF67BED"/>
    <w:rsid w:val="14C352A9"/>
    <w:rsid w:val="1A2058D1"/>
    <w:rsid w:val="1FAE2883"/>
    <w:rsid w:val="22094A5C"/>
    <w:rsid w:val="24791EB4"/>
    <w:rsid w:val="25BF4CB2"/>
    <w:rsid w:val="27C15096"/>
    <w:rsid w:val="38E64CA6"/>
    <w:rsid w:val="39763CCE"/>
    <w:rsid w:val="3B8F032F"/>
    <w:rsid w:val="3DFF672B"/>
    <w:rsid w:val="3E0E1380"/>
    <w:rsid w:val="43116AF1"/>
    <w:rsid w:val="49A01F48"/>
    <w:rsid w:val="554A3BE8"/>
    <w:rsid w:val="57470A09"/>
    <w:rsid w:val="5F5B3B45"/>
    <w:rsid w:val="60164625"/>
    <w:rsid w:val="68DE4DB1"/>
    <w:rsid w:val="69404477"/>
    <w:rsid w:val="6A7F0663"/>
    <w:rsid w:val="6B2526C3"/>
    <w:rsid w:val="72A50B70"/>
    <w:rsid w:val="72D50E3A"/>
    <w:rsid w:val="79A95434"/>
    <w:rsid w:val="7C367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rPr>
      <w:rFonts w:ascii="Times New Roman" w:hAnsi="Times New Roman"/>
    </w:rPr>
  </w:style>
  <w:style w:type="paragraph" w:styleId="4">
    <w:name w:val="Balloon Text"/>
    <w:basedOn w:val="1"/>
    <w:link w:val="15"/>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llowedHyperlink"/>
    <w:basedOn w:val="9"/>
    <w:qFormat/>
    <w:uiPriority w:val="0"/>
    <w:rPr>
      <w:color w:val="954F72" w:themeColor="followedHyperlink"/>
      <w:u w:val="single"/>
    </w:rPr>
  </w:style>
  <w:style w:type="character" w:styleId="11">
    <w:name w:val="Hyperlink"/>
    <w:basedOn w:val="9"/>
    <w:unhideWhenUsed/>
    <w:qFormat/>
    <w:uiPriority w:val="99"/>
    <w:rPr>
      <w:color w:val="0563C1" w:themeColor="hyperlink"/>
      <w:u w:val="single"/>
    </w:rPr>
  </w:style>
  <w:style w:type="character" w:customStyle="1" w:styleId="12">
    <w:name w:val="页眉 Char"/>
    <w:basedOn w:val="9"/>
    <w:link w:val="6"/>
    <w:qFormat/>
    <w:uiPriority w:val="0"/>
    <w:rPr>
      <w:rFonts w:ascii="Calibri" w:hAnsi="Calibri"/>
      <w:kern w:val="2"/>
      <w:sz w:val="18"/>
      <w:szCs w:val="18"/>
    </w:rPr>
  </w:style>
  <w:style w:type="character" w:customStyle="1" w:styleId="13">
    <w:name w:val="页脚 Char"/>
    <w:basedOn w:val="9"/>
    <w:link w:val="5"/>
    <w:qFormat/>
    <w:uiPriority w:val="99"/>
    <w:rPr>
      <w:rFonts w:ascii="Calibri" w:hAnsi="Calibri"/>
      <w:kern w:val="2"/>
      <w:sz w:val="18"/>
      <w:szCs w:val="18"/>
    </w:rPr>
  </w:style>
  <w:style w:type="paragraph" w:styleId="14">
    <w:name w:val="List Paragraph"/>
    <w:basedOn w:val="1"/>
    <w:unhideWhenUsed/>
    <w:qFormat/>
    <w:uiPriority w:val="99"/>
    <w:pPr>
      <w:ind w:firstLine="420" w:firstLineChars="200"/>
    </w:pPr>
  </w:style>
  <w:style w:type="character" w:customStyle="1" w:styleId="15">
    <w:name w:val="批注框文本 Char"/>
    <w:basedOn w:val="9"/>
    <w:link w:val="4"/>
    <w:qFormat/>
    <w:uiPriority w:val="0"/>
    <w:rPr>
      <w:rFonts w:ascii="Calibri" w:hAnsi="Calibri"/>
      <w:kern w:val="2"/>
      <w:sz w:val="18"/>
      <w:szCs w:val="18"/>
    </w:rPr>
  </w:style>
  <w:style w:type="character" w:customStyle="1" w:styleId="16">
    <w:name w:val="批注文字 Char"/>
    <w:basedOn w:val="9"/>
    <w:link w:val="3"/>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73609C-C5C8-437B-8ECA-F46380C3B61B}">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15</Pages>
  <Words>912</Words>
  <Characters>5202</Characters>
  <Lines>43</Lines>
  <Paragraphs>12</Paragraphs>
  <TotalTime>0</TotalTime>
  <ScaleCrop>false</ScaleCrop>
  <LinksUpToDate>false</LinksUpToDate>
  <CharactersWithSpaces>6102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2021-04-13T03:00:00Z</dcterms:created>
  <dc:creator>刘妍彤</dc:creator>
  <cp:lastModifiedBy>彰</cp:lastModifiedBy>
  <dcterms:modified xsi:type="dcterms:W3CDTF">2021-04-22T03:23:36Z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